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BC" w:rsidRDefault="005C2F01">
      <w:pPr>
        <w:pStyle w:val="Standard"/>
        <w:jc w:val="right"/>
        <w:rPr>
          <w:rFonts w:eastAsia="Arial Unicode MS" w:cs="Times New Roman"/>
          <w:szCs w:val="20"/>
        </w:rPr>
      </w:pPr>
      <w:bookmarkStart w:id="0" w:name="_GoBack"/>
      <w:bookmarkEnd w:id="0"/>
      <w:r>
        <w:rPr>
          <w:rFonts w:eastAsia="Arial Unicode MS" w:cs="Times New Roman"/>
          <w:szCs w:val="20"/>
        </w:rPr>
        <w:t>Pilawa, dnia ……...........................</w:t>
      </w:r>
    </w:p>
    <w:p w:rsidR="00F913BC" w:rsidRDefault="005C2F0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.................................................……………...</w:t>
      </w:r>
    </w:p>
    <w:p w:rsidR="00F913BC" w:rsidRDefault="005C2F01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F913BC" w:rsidRDefault="005C2F0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.................................................……………...</w:t>
      </w:r>
    </w:p>
    <w:p w:rsidR="00F913BC" w:rsidRDefault="005C2F0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</w:p>
    <w:p w:rsidR="00F913BC" w:rsidRDefault="005C2F0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.................................................……………...       </w:t>
      </w:r>
    </w:p>
    <w:p w:rsidR="00F913BC" w:rsidRDefault="005C2F01">
      <w:pPr>
        <w:pStyle w:val="Standard"/>
        <w:spacing w:line="276" w:lineRule="auto"/>
      </w:pPr>
      <w:r>
        <w:rPr>
          <w:rFonts w:cs="Times New Roman"/>
          <w:sz w:val="18"/>
          <w:szCs w:val="18"/>
        </w:rPr>
        <w:t>Dane wnioskodawcy lub pełnomocnika</w:t>
      </w:r>
      <w:r>
        <w:rPr>
          <w:rFonts w:cs="Times New Roman"/>
        </w:rPr>
        <w:t xml:space="preserve">                               </w:t>
      </w:r>
    </w:p>
    <w:p w:rsidR="00F913BC" w:rsidRDefault="00F913BC">
      <w:pPr>
        <w:pStyle w:val="Standard"/>
        <w:spacing w:line="276" w:lineRule="auto"/>
        <w:rPr>
          <w:rFonts w:cs="Times New Roman"/>
        </w:rPr>
      </w:pPr>
    </w:p>
    <w:p w:rsidR="00F913BC" w:rsidRDefault="005C2F0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……………………………...</w:t>
      </w:r>
    </w:p>
    <w:p w:rsidR="00F913BC" w:rsidRDefault="005C2F01">
      <w:pPr>
        <w:pStyle w:val="Standard"/>
        <w:spacing w:line="276" w:lineRule="auto"/>
      </w:pPr>
      <w:r>
        <w:rPr>
          <w:rFonts w:cs="Times New Roman"/>
          <w:sz w:val="18"/>
          <w:szCs w:val="18"/>
        </w:rPr>
        <w:t>Numer  telefo</w:t>
      </w:r>
      <w:r>
        <w:rPr>
          <w:rFonts w:cs="Times New Roman"/>
          <w:sz w:val="18"/>
          <w:szCs w:val="18"/>
        </w:rPr>
        <w:t>nu</w:t>
      </w:r>
      <w:r>
        <w:rPr>
          <w:rFonts w:cs="Times New Roman"/>
        </w:rPr>
        <w:t xml:space="preserve">                                                                                    </w:t>
      </w:r>
      <w:r>
        <w:rPr>
          <w:rFonts w:eastAsia="Arial Unicode MS" w:cs="Times New Roman"/>
          <w:b/>
          <w:bCs/>
          <w:sz w:val="28"/>
          <w:szCs w:val="28"/>
        </w:rPr>
        <w:t>Burmistrz Miasta i Gminy</w:t>
      </w:r>
    </w:p>
    <w:p w:rsidR="00F913BC" w:rsidRDefault="005C2F01">
      <w:pPr>
        <w:pStyle w:val="Standard"/>
      </w:pP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b/>
          <w:lang w:bidi="ar-SA"/>
        </w:rPr>
        <w:t xml:space="preserve">                            Pi</w:t>
      </w:r>
      <w:r>
        <w:rPr>
          <w:rFonts w:eastAsia="Times New Roman" w:cs="Times New Roman"/>
          <w:b/>
          <w:lang w:bidi="ar-SA"/>
        </w:rPr>
        <w:t>lawa</w:t>
      </w:r>
    </w:p>
    <w:p w:rsidR="00F913BC" w:rsidRDefault="00F913BC">
      <w:pPr>
        <w:pStyle w:val="Standard"/>
        <w:rPr>
          <w:rFonts w:eastAsia="Times New Roman" w:cs="Times New Roman"/>
          <w:b/>
          <w:lang w:bidi="ar-SA"/>
        </w:rPr>
      </w:pPr>
    </w:p>
    <w:p w:rsidR="00F913BC" w:rsidRDefault="00F913BC">
      <w:pPr>
        <w:pStyle w:val="Standard"/>
        <w:rPr>
          <w:rFonts w:cs="Times New Roman"/>
          <w:b/>
        </w:rPr>
      </w:pPr>
    </w:p>
    <w:p w:rsidR="00F913BC" w:rsidRDefault="00F913BC">
      <w:pPr>
        <w:pStyle w:val="Nagwek1"/>
        <w:tabs>
          <w:tab w:val="left" w:pos="0"/>
        </w:tabs>
        <w:jc w:val="right"/>
        <w:rPr>
          <w:rFonts w:eastAsia="Arial Unicode MS" w:cs="Times New Roman"/>
          <w:szCs w:val="20"/>
        </w:rPr>
      </w:pPr>
    </w:p>
    <w:p w:rsidR="00F913BC" w:rsidRDefault="005C2F01">
      <w:pPr>
        <w:pStyle w:val="Nagwek1"/>
        <w:tabs>
          <w:tab w:val="left" w:pos="0"/>
        </w:tabs>
        <w:jc w:val="right"/>
        <w:rPr>
          <w:rFonts w:eastAsia="Arial Unicode MS" w:cs="Times New Roman"/>
          <w:szCs w:val="20"/>
        </w:rPr>
      </w:pPr>
      <w:r>
        <w:rPr>
          <w:rFonts w:eastAsia="Arial Unicode MS" w:cs="Times New Roman"/>
          <w:szCs w:val="20"/>
        </w:rPr>
        <w:t xml:space="preserve">       </w:t>
      </w:r>
    </w:p>
    <w:p w:rsidR="00F913BC" w:rsidRDefault="00F913BC">
      <w:pPr>
        <w:pStyle w:val="Standard"/>
        <w:jc w:val="center"/>
        <w:rPr>
          <w:rFonts w:eastAsia="Arial Unicode MS" w:cs="Times New Roman"/>
          <w:b/>
          <w:bCs/>
          <w:szCs w:val="20"/>
        </w:rPr>
      </w:pPr>
    </w:p>
    <w:p w:rsidR="00F913BC" w:rsidRDefault="005C2F01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</w:rPr>
      </w:pPr>
      <w:r>
        <w:rPr>
          <w:rFonts w:eastAsia="Arial Unicode MS" w:cs="Times New Roman"/>
          <w:b/>
          <w:bCs/>
          <w:sz w:val="28"/>
          <w:szCs w:val="28"/>
        </w:rPr>
        <w:t>WNIOSEK  O  PODZIAŁ  NIERUCHOMOŚCI</w:t>
      </w:r>
    </w:p>
    <w:p w:rsidR="00F913BC" w:rsidRDefault="00F913BC">
      <w:pPr>
        <w:pStyle w:val="Standard"/>
        <w:jc w:val="center"/>
        <w:rPr>
          <w:rFonts w:eastAsia="Arial Unicode MS" w:cs="Times New Roman"/>
          <w:b/>
          <w:bCs/>
          <w:sz w:val="36"/>
          <w:szCs w:val="36"/>
        </w:rPr>
      </w:pPr>
    </w:p>
    <w:p w:rsidR="00F913BC" w:rsidRDefault="00F913BC">
      <w:pPr>
        <w:pStyle w:val="Standard"/>
        <w:jc w:val="center"/>
        <w:rPr>
          <w:rFonts w:eastAsia="Arial Unicode MS" w:cs="Times New Roman"/>
          <w:b/>
          <w:bCs/>
          <w:sz w:val="36"/>
          <w:szCs w:val="36"/>
        </w:rPr>
      </w:pPr>
    </w:p>
    <w:p w:rsidR="00F913BC" w:rsidRDefault="005C2F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Wnoszę o podział nieruchomości położonej w obrębie ………………..….., gm. Pilawa, oznaczonej nr ew. ………………., w sposób przedstawiony na załączonej mapie z projektem podziału. Dzielona nieruchomość objęta </w:t>
      </w:r>
      <w:r>
        <w:rPr>
          <w:rFonts w:cs="Times New Roman"/>
        </w:rPr>
        <w:t>została decyzją o warunkach zabudowy nr …………....                        z dnia ………………………………</w:t>
      </w:r>
    </w:p>
    <w:p w:rsidR="00F913BC" w:rsidRDefault="005C2F0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W pierwszym etapie wnoszę o wydanie postanowienia o zaopiniowaniu wstępnego projektu podziału, a następnie o wydanie decyzji zatwierdzającej podział.</w:t>
      </w:r>
    </w:p>
    <w:p w:rsidR="00F913BC" w:rsidRDefault="00F913BC">
      <w:pPr>
        <w:jc w:val="both"/>
        <w:rPr>
          <w:rFonts w:cs="Times New Roman"/>
        </w:rPr>
      </w:pPr>
    </w:p>
    <w:p w:rsidR="00F913BC" w:rsidRDefault="005C2F01">
      <w:pPr>
        <w:jc w:val="both"/>
        <w:rPr>
          <w:rFonts w:cs="Times New Roman"/>
        </w:rPr>
      </w:pPr>
      <w:r>
        <w:rPr>
          <w:rFonts w:cs="Times New Roman"/>
        </w:rPr>
        <w:t>Cel podziału</w:t>
      </w:r>
      <w:r>
        <w:rPr>
          <w:rFonts w:cs="Times New Roman"/>
        </w:rPr>
        <w:t xml:space="preserve">:   …………………………………………………..………………………………...… </w:t>
      </w:r>
    </w:p>
    <w:p w:rsidR="00F913BC" w:rsidRDefault="00F913BC">
      <w:pPr>
        <w:jc w:val="both"/>
        <w:rPr>
          <w:rFonts w:cs="Times New Roman"/>
        </w:rPr>
      </w:pPr>
    </w:p>
    <w:p w:rsidR="00F913BC" w:rsidRDefault="005C2F0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………………………………………………………………………………….……………………</w:t>
      </w:r>
    </w:p>
    <w:p w:rsidR="00F913BC" w:rsidRDefault="00F913BC">
      <w:pPr>
        <w:jc w:val="both"/>
        <w:rPr>
          <w:rFonts w:cs="Times New Roman"/>
        </w:rPr>
      </w:pPr>
    </w:p>
    <w:p w:rsidR="00F913BC" w:rsidRDefault="005C2F0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:rsidR="00F913BC" w:rsidRDefault="00F913BC">
      <w:pPr>
        <w:jc w:val="both"/>
        <w:rPr>
          <w:rFonts w:cs="Times New Roman"/>
        </w:rPr>
      </w:pPr>
    </w:p>
    <w:p w:rsidR="00F913BC" w:rsidRDefault="005C2F0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:rsidR="00F913BC" w:rsidRDefault="00F913BC">
      <w:pPr>
        <w:jc w:val="both"/>
        <w:rPr>
          <w:rFonts w:cs="Times New Roman"/>
        </w:rPr>
      </w:pPr>
    </w:p>
    <w:p w:rsidR="00F913BC" w:rsidRDefault="005C2F0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:rsidR="00F913BC" w:rsidRDefault="00F913BC">
      <w:pPr>
        <w:jc w:val="both"/>
        <w:rPr>
          <w:rFonts w:cs="Times New Roman"/>
        </w:rPr>
      </w:pPr>
    </w:p>
    <w:p w:rsidR="00F913BC" w:rsidRDefault="005C2F0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:rsidR="00F913BC" w:rsidRDefault="005C2F01"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      </w:t>
      </w:r>
      <w:r>
        <w:rPr>
          <w:rFonts w:cs="Times New Roman"/>
          <w:i/>
        </w:rPr>
        <w:t xml:space="preserve">      </w:t>
      </w:r>
    </w:p>
    <w:p w:rsidR="00F913BC" w:rsidRDefault="005C2F01">
      <w:pPr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</w:t>
      </w:r>
    </w:p>
    <w:p w:rsidR="00F913BC" w:rsidRDefault="00F913BC">
      <w:pPr>
        <w:rPr>
          <w:rFonts w:cs="Times New Roman"/>
          <w:i/>
        </w:rPr>
      </w:pPr>
    </w:p>
    <w:p w:rsidR="00F913BC" w:rsidRDefault="00F913BC">
      <w:pPr>
        <w:rPr>
          <w:rFonts w:cs="Times New Roman"/>
          <w:i/>
        </w:rPr>
      </w:pPr>
    </w:p>
    <w:p w:rsidR="00F913BC" w:rsidRDefault="00F913BC">
      <w:pPr>
        <w:rPr>
          <w:rFonts w:cs="Times New Roman"/>
          <w:i/>
        </w:rPr>
      </w:pPr>
    </w:p>
    <w:p w:rsidR="00F913BC" w:rsidRDefault="005C2F01">
      <w:pPr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    ………………..………………………………….</w:t>
      </w:r>
    </w:p>
    <w:p w:rsidR="00F913BC" w:rsidRDefault="005C2F0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/podpis wnioskodawcy/</w:t>
      </w:r>
    </w:p>
    <w:p w:rsidR="00F913BC" w:rsidRDefault="00F913BC">
      <w:pPr>
        <w:rPr>
          <w:rFonts w:cs="Times New Roman"/>
        </w:rPr>
      </w:pPr>
    </w:p>
    <w:p w:rsidR="00F913BC" w:rsidRDefault="00F913BC">
      <w:pPr>
        <w:rPr>
          <w:rFonts w:cs="Times New Roman"/>
        </w:rPr>
      </w:pPr>
    </w:p>
    <w:p w:rsidR="00F913BC" w:rsidRDefault="00F913BC">
      <w:pPr>
        <w:rPr>
          <w:rFonts w:cs="Times New Roman"/>
        </w:rPr>
      </w:pPr>
    </w:p>
    <w:p w:rsidR="00F913BC" w:rsidRDefault="00F913BC">
      <w:pPr>
        <w:rPr>
          <w:rFonts w:cs="Times New Roman"/>
        </w:rPr>
      </w:pPr>
    </w:p>
    <w:p w:rsidR="00F913BC" w:rsidRDefault="00F913BC">
      <w:pPr>
        <w:rPr>
          <w:rFonts w:cs="Times New Roman"/>
        </w:rPr>
      </w:pPr>
    </w:p>
    <w:p w:rsidR="00F913BC" w:rsidRDefault="005C2F01">
      <w:pPr>
        <w:pStyle w:val="Standard"/>
        <w:jc w:val="center"/>
        <w:rPr>
          <w:rFonts w:eastAsia="Arial Unicode MS" w:cs="Times New Roman"/>
          <w:b/>
          <w:bCs/>
          <w:sz w:val="23"/>
          <w:szCs w:val="23"/>
          <w:u w:val="single"/>
        </w:rPr>
      </w:pPr>
      <w:r>
        <w:rPr>
          <w:rFonts w:eastAsia="Arial Unicode MS" w:cs="Times New Roman"/>
          <w:b/>
          <w:bCs/>
          <w:sz w:val="23"/>
          <w:szCs w:val="23"/>
          <w:u w:val="single"/>
        </w:rPr>
        <w:t>I N F O R M A C J A</w:t>
      </w:r>
    </w:p>
    <w:p w:rsidR="00F913BC" w:rsidRDefault="00F913BC">
      <w:pPr>
        <w:pStyle w:val="Standard"/>
        <w:jc w:val="center"/>
        <w:rPr>
          <w:rFonts w:eastAsia="Arial Unicode MS" w:cs="Times New Roman"/>
          <w:b/>
          <w:bCs/>
          <w:sz w:val="10"/>
          <w:szCs w:val="10"/>
          <w:u w:val="single"/>
        </w:rPr>
      </w:pPr>
    </w:p>
    <w:p w:rsidR="00F913BC" w:rsidRDefault="005C2F01">
      <w:pPr>
        <w:pStyle w:val="Textbody"/>
        <w:jc w:val="center"/>
        <w:rPr>
          <w:rFonts w:eastAsia="Arial Unicode MS" w:cs="Times New Roman"/>
          <w:b/>
          <w:bCs/>
          <w:sz w:val="23"/>
          <w:szCs w:val="23"/>
          <w:u w:val="single"/>
        </w:rPr>
      </w:pPr>
      <w:r>
        <w:rPr>
          <w:rFonts w:eastAsia="Arial Unicode MS" w:cs="Times New Roman"/>
          <w:b/>
          <w:bCs/>
          <w:sz w:val="23"/>
          <w:szCs w:val="23"/>
          <w:u w:val="single"/>
        </w:rPr>
        <w:t>Sposób  przygotowania  wniosku</w:t>
      </w:r>
    </w:p>
    <w:p w:rsidR="00F913BC" w:rsidRDefault="00F913BC">
      <w:pPr>
        <w:pStyle w:val="Textbody"/>
        <w:jc w:val="center"/>
        <w:rPr>
          <w:rFonts w:eastAsia="Arial Unicode MS" w:cs="Times New Roman"/>
          <w:b/>
          <w:bCs/>
          <w:sz w:val="23"/>
          <w:szCs w:val="23"/>
          <w:u w:val="single"/>
        </w:rPr>
      </w:pPr>
    </w:p>
    <w:p w:rsidR="00F913BC" w:rsidRDefault="005C2F01">
      <w:pPr>
        <w:pStyle w:val="Standard"/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>Do wystąpienia o zaopiniowanie wstępnego projektu podziału nieruchomości należy dołączyć:</w:t>
      </w:r>
    </w:p>
    <w:p w:rsidR="00F913BC" w:rsidRDefault="005C2F01">
      <w:pPr>
        <w:pStyle w:val="Standard"/>
        <w:numPr>
          <w:ilvl w:val="0"/>
          <w:numId w:val="2"/>
        </w:numPr>
        <w:spacing w:before="113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Dokumenty określone przepisami art. 97</w:t>
      </w:r>
      <w:r>
        <w:rPr>
          <w:rFonts w:cs="Times New Roman"/>
          <w:sz w:val="23"/>
          <w:szCs w:val="23"/>
        </w:rPr>
        <w:t xml:space="preserve"> ust. 1a ustawy o gospodarce nieruchomościami:</w:t>
      </w:r>
    </w:p>
    <w:p w:rsidR="00F913BC" w:rsidRDefault="005C2F01">
      <w:pPr>
        <w:pStyle w:val="Standard"/>
        <w:numPr>
          <w:ilvl w:val="1"/>
          <w:numId w:val="2"/>
        </w:numPr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>aktualne dokumenty stwierdzające tytuł prawny do nieruchomości,</w:t>
      </w:r>
    </w:p>
    <w:p w:rsidR="00F913BC" w:rsidRDefault="005C2F01">
      <w:pPr>
        <w:pStyle w:val="Standard"/>
        <w:numPr>
          <w:ilvl w:val="1"/>
          <w:numId w:val="2"/>
        </w:numPr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 xml:space="preserve">aktualny wypis z katastru nieruchomości oraz kopię mapy katastralnej obejmującej nieruchomość podlegającą podziałowi,  </w:t>
      </w:r>
    </w:p>
    <w:p w:rsidR="00F913BC" w:rsidRDefault="005C2F01">
      <w:pPr>
        <w:pStyle w:val="Standard"/>
        <w:numPr>
          <w:ilvl w:val="1"/>
          <w:numId w:val="2"/>
        </w:numPr>
        <w:jc w:val="both"/>
        <w:rPr>
          <w:rFonts w:eastAsia="A" w:cs="Times New Roman"/>
          <w:sz w:val="23"/>
          <w:szCs w:val="23"/>
        </w:rPr>
      </w:pPr>
      <w:r>
        <w:rPr>
          <w:rFonts w:eastAsia="A" w:cs="Times New Roman"/>
          <w:sz w:val="23"/>
          <w:szCs w:val="23"/>
        </w:rPr>
        <w:t>w przypadku nieruchomości</w:t>
      </w:r>
      <w:r>
        <w:rPr>
          <w:rFonts w:eastAsia="A" w:cs="Times New Roman"/>
          <w:sz w:val="23"/>
          <w:szCs w:val="23"/>
        </w:rPr>
        <w:t xml:space="preserve"> wpisanej do rejestru zabytków, do wniosku należy dołączyć pozwolenie wojewódzkiego konserwatora zabytków, o którym mowa w art. 96 ust. 1a ustawy o gospodarce nieruchomościami,</w:t>
      </w:r>
    </w:p>
    <w:p w:rsidR="00F913BC" w:rsidRDefault="005C2F01">
      <w:pPr>
        <w:pStyle w:val="Standard"/>
        <w:numPr>
          <w:ilvl w:val="1"/>
          <w:numId w:val="2"/>
        </w:numPr>
        <w:jc w:val="both"/>
      </w:pPr>
      <w:r>
        <w:rPr>
          <w:rFonts w:eastAsia="A" w:cs="Times New Roman"/>
          <w:sz w:val="23"/>
          <w:szCs w:val="23"/>
        </w:rPr>
        <w:t>wstępny projekt podziału nieruchomości (</w:t>
      </w:r>
      <w:r>
        <w:rPr>
          <w:rFonts w:eastAsia="Arial Unicode MS" w:cs="Times New Roman"/>
          <w:sz w:val="23"/>
          <w:szCs w:val="23"/>
        </w:rPr>
        <w:t>opracowany na kopii mapy zasadniczej, o</w:t>
      </w:r>
      <w:r>
        <w:rPr>
          <w:rFonts w:eastAsia="Arial Unicode MS" w:cs="Times New Roman"/>
          <w:sz w:val="23"/>
          <w:szCs w:val="23"/>
        </w:rPr>
        <w:t>patrzonej stosownymi klauzulami – po jednym egzemplarzu dla każdej ze stron postępowania i Urzędu), z wyjątkiem podziałów o których mowa w art. 95 ustawy o gospodarce nieruchomościami,</w:t>
      </w:r>
    </w:p>
    <w:p w:rsidR="00F913BC" w:rsidRDefault="005C2F01">
      <w:pPr>
        <w:pStyle w:val="Standard"/>
        <w:numPr>
          <w:ilvl w:val="1"/>
          <w:numId w:val="2"/>
        </w:numPr>
        <w:jc w:val="both"/>
      </w:pPr>
      <w:r>
        <w:rPr>
          <w:rFonts w:eastAsia="Arial Unicode MS" w:cs="Times New Roman"/>
          <w:sz w:val="23"/>
          <w:szCs w:val="23"/>
        </w:rPr>
        <w:t>decyzję o warunkach zabudowy i zagospodarowania terenu (posiadającą kla</w:t>
      </w:r>
      <w:r>
        <w:rPr>
          <w:rFonts w:eastAsia="Arial Unicode MS" w:cs="Times New Roman"/>
          <w:sz w:val="23"/>
          <w:szCs w:val="23"/>
        </w:rPr>
        <w:t xml:space="preserve">uzulę ostateczności), </w:t>
      </w:r>
      <w:r>
        <w:rPr>
          <w:rFonts w:eastAsia="A" w:cs="Times New Roman"/>
          <w:sz w:val="23"/>
          <w:szCs w:val="23"/>
        </w:rPr>
        <w:t>w przypadku, gdy podział nieruchomości dotyczy terenu o braku miejscowego planu, a przedmiotem opiniowania ma być stwierdzenie zgodności wstępnego projektu podziału nieruchomości z warunkami określonymi w decyzji o warunkach zabudowy.</w:t>
      </w:r>
    </w:p>
    <w:p w:rsidR="00F913BC" w:rsidRDefault="00F913BC">
      <w:pPr>
        <w:pStyle w:val="Standard"/>
        <w:ind w:left="1080"/>
        <w:jc w:val="both"/>
        <w:rPr>
          <w:sz w:val="10"/>
          <w:szCs w:val="10"/>
        </w:rPr>
      </w:pPr>
    </w:p>
    <w:p w:rsidR="00F913BC" w:rsidRDefault="005C2F01">
      <w:pPr>
        <w:pStyle w:val="Standard"/>
        <w:numPr>
          <w:ilvl w:val="0"/>
          <w:numId w:val="2"/>
        </w:numPr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>Dokumenty potwierdzające spełnienie wymogu, o którym mowa w art. 93 ust.3 ustawy o gospodarce nieruchomościami, dotyczącego dostępu nowo wydzielanych działek do drogi publicznej:</w:t>
      </w:r>
    </w:p>
    <w:p w:rsidR="00F913BC" w:rsidRDefault="005C2F01">
      <w:pPr>
        <w:pStyle w:val="Standard"/>
        <w:numPr>
          <w:ilvl w:val="1"/>
          <w:numId w:val="2"/>
        </w:numPr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>w przypadku, gdy dokonanie podziału nieruchomości spowoduje konieczność wyk</w:t>
      </w:r>
      <w:r>
        <w:rPr>
          <w:rFonts w:eastAsia="Arial Unicode MS" w:cs="Times New Roman"/>
          <w:sz w:val="23"/>
          <w:szCs w:val="23"/>
        </w:rPr>
        <w:t>onania nowego zjazdu z drogi publicznej (dla zapewnienia nowo wydzielanym działkom dostępu do drogi publicznej), do wniosku należy dołączyć zgodę zarządcy drogi na wykonanie zjazdu,</w:t>
      </w:r>
    </w:p>
    <w:p w:rsidR="00F913BC" w:rsidRDefault="005C2F01">
      <w:pPr>
        <w:pStyle w:val="Standard"/>
        <w:numPr>
          <w:ilvl w:val="1"/>
          <w:numId w:val="2"/>
        </w:numPr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>w przypadku, gdy dostęp do drogi publicznej odbywał się będzie za pośredni</w:t>
      </w:r>
      <w:r>
        <w:rPr>
          <w:rFonts w:eastAsia="Arial Unicode MS" w:cs="Times New Roman"/>
          <w:sz w:val="23"/>
          <w:szCs w:val="23"/>
        </w:rPr>
        <w:t>ctwem innych nieruchomości, do wniosku o podział należy dołączyć tytuł prawny, z którego wynika, że dzielona nieruchomość posiada prawny dostęp do drogi publicznej (możliwy do wykonywania).</w:t>
      </w:r>
    </w:p>
    <w:p w:rsidR="00F913BC" w:rsidRDefault="00F913BC">
      <w:pPr>
        <w:pStyle w:val="Standard"/>
        <w:ind w:left="1080"/>
        <w:jc w:val="both"/>
        <w:rPr>
          <w:rFonts w:eastAsia="Arial Unicode MS" w:cs="Times New Roman"/>
          <w:sz w:val="10"/>
          <w:szCs w:val="10"/>
        </w:rPr>
      </w:pPr>
    </w:p>
    <w:p w:rsidR="00F913BC" w:rsidRDefault="005C2F01">
      <w:pPr>
        <w:pStyle w:val="Standard"/>
        <w:ind w:left="360"/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>3.   W przypadku ustalenia pełnomocnika – należy dołączyć pełnomo</w:t>
      </w:r>
      <w:r>
        <w:rPr>
          <w:rFonts w:eastAsia="Arial Unicode MS" w:cs="Times New Roman"/>
          <w:sz w:val="23"/>
          <w:szCs w:val="23"/>
        </w:rPr>
        <w:t xml:space="preserve">cnictwo szczególne, określające    </w:t>
      </w:r>
    </w:p>
    <w:p w:rsidR="00F913BC" w:rsidRDefault="005C2F01">
      <w:pPr>
        <w:pStyle w:val="Standard"/>
        <w:ind w:left="360"/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 xml:space="preserve">       rodzaj czynności, do których pełnomocnik posiada umocowanie.</w:t>
      </w:r>
    </w:p>
    <w:p w:rsidR="00F913BC" w:rsidRDefault="00F913BC">
      <w:pPr>
        <w:pStyle w:val="Standard"/>
        <w:ind w:left="360"/>
        <w:jc w:val="both"/>
        <w:rPr>
          <w:rFonts w:eastAsia="Arial Unicode MS" w:cs="Times New Roman"/>
          <w:sz w:val="10"/>
          <w:szCs w:val="10"/>
        </w:rPr>
      </w:pPr>
    </w:p>
    <w:p w:rsidR="00F913BC" w:rsidRDefault="005C2F01">
      <w:pPr>
        <w:pStyle w:val="Standard"/>
        <w:numPr>
          <w:ilvl w:val="0"/>
          <w:numId w:val="9"/>
        </w:numPr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>W szczególnych przypadkach może zaistnieć konieczność dołączenia innych dokumentów (niezbędnych z uwagi na specyfikę prowadzonego postępowania administ</w:t>
      </w:r>
      <w:r>
        <w:rPr>
          <w:rFonts w:eastAsia="Arial Unicode MS" w:cs="Times New Roman"/>
          <w:sz w:val="23"/>
          <w:szCs w:val="23"/>
        </w:rPr>
        <w:t>racyjnego), o czym Wnioskodawca zostanie poinformowany na piśmie lub telefonicznie.</w:t>
      </w:r>
    </w:p>
    <w:p w:rsidR="00F913BC" w:rsidRDefault="00F913BC">
      <w:pPr>
        <w:pStyle w:val="Standard"/>
        <w:jc w:val="both"/>
        <w:rPr>
          <w:rFonts w:eastAsia="Arial Unicode MS" w:cs="Times New Roman"/>
        </w:rPr>
      </w:pPr>
    </w:p>
    <w:p w:rsidR="00F913BC" w:rsidRDefault="005C2F01">
      <w:pPr>
        <w:pStyle w:val="Textbody"/>
        <w:spacing w:after="0"/>
        <w:jc w:val="both"/>
        <w:rPr>
          <w:rFonts w:eastAsia="Arial Unicode MS" w:cs="Times New Roman"/>
          <w:sz w:val="23"/>
          <w:szCs w:val="23"/>
        </w:rPr>
      </w:pPr>
      <w:r>
        <w:rPr>
          <w:rFonts w:eastAsia="Arial Unicode MS" w:cs="Times New Roman"/>
          <w:sz w:val="23"/>
          <w:szCs w:val="23"/>
        </w:rPr>
        <w:t xml:space="preserve">Uzyskanie pozytywnej opinii, dotyczącej wstępnego projektu podziału nieruchomości, stanowi podstawę do wystąpienia o wydanie decyzji zatwierdzającej podział nieruchomości </w:t>
      </w:r>
      <w:r>
        <w:rPr>
          <w:rFonts w:eastAsia="Arial Unicode MS" w:cs="Times New Roman"/>
          <w:sz w:val="23"/>
          <w:szCs w:val="23"/>
        </w:rPr>
        <w:t xml:space="preserve"> (do wystąpienia o wydanie decyzji należy dołączyć dokumenty przyjęte uprzednio do państwowego zasobu geodezyjnego                                        i kartograficznego: protokół z przyjęcia granic oraz w odpowiedniej liczbie egzemplarzy: wykaz zmian g</w:t>
      </w:r>
      <w:r>
        <w:rPr>
          <w:rFonts w:eastAsia="Arial Unicode MS" w:cs="Times New Roman"/>
          <w:sz w:val="23"/>
          <w:szCs w:val="23"/>
        </w:rPr>
        <w:t>runtowych, wykaz synchronizacyjny, jeżeli oznaczenie nieruchomości w ewidencji gruntów i budynków jest inne niż w księdze wieczystej, mapę z projektem podziału nieruchomości).</w:t>
      </w:r>
    </w:p>
    <w:p w:rsidR="00F913BC" w:rsidRDefault="005C2F01">
      <w:pPr>
        <w:pStyle w:val="Textbody"/>
        <w:spacing w:after="0"/>
        <w:ind w:left="72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</w:t>
      </w:r>
    </w:p>
    <w:p w:rsidR="00F913BC" w:rsidRDefault="00F913BC">
      <w:pPr>
        <w:pStyle w:val="Textbody"/>
        <w:rPr>
          <w:rFonts w:cs="Times New Roman"/>
        </w:rPr>
      </w:pPr>
    </w:p>
    <w:p w:rsidR="00F913BC" w:rsidRDefault="00F913BC">
      <w:pPr>
        <w:pStyle w:val="Textbody"/>
        <w:rPr>
          <w:rFonts w:cs="Times New Roman"/>
        </w:rPr>
      </w:pPr>
    </w:p>
    <w:p w:rsidR="00F913BC" w:rsidRDefault="00F913BC">
      <w:pPr>
        <w:pStyle w:val="Textbody"/>
        <w:rPr>
          <w:rFonts w:cs="Times New Roman"/>
        </w:rPr>
      </w:pPr>
    </w:p>
    <w:p w:rsidR="00F913BC" w:rsidRDefault="00F913BC">
      <w:pPr>
        <w:pStyle w:val="Textbody"/>
        <w:rPr>
          <w:rFonts w:cs="Times New Roman"/>
        </w:rPr>
      </w:pPr>
    </w:p>
    <w:p w:rsidR="00F913BC" w:rsidRDefault="00F913BC">
      <w:pPr>
        <w:pStyle w:val="Textbody"/>
        <w:rPr>
          <w:rFonts w:cs="Times New Roman"/>
        </w:rPr>
      </w:pPr>
    </w:p>
    <w:p w:rsidR="00F913BC" w:rsidRDefault="00F913BC">
      <w:pPr>
        <w:pStyle w:val="Textbody"/>
        <w:rPr>
          <w:rFonts w:cs="Times New Roman"/>
        </w:rPr>
      </w:pPr>
    </w:p>
    <w:p w:rsidR="00F913BC" w:rsidRDefault="00F913BC">
      <w:pPr>
        <w:pStyle w:val="Textbody"/>
        <w:rPr>
          <w:rFonts w:cs="Times New Roman"/>
        </w:rPr>
      </w:pPr>
    </w:p>
    <w:p w:rsidR="00F913BC" w:rsidRDefault="005C2F01">
      <w:pPr>
        <w:pStyle w:val="Text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KLAUZULA   INFORMACYJNA</w:t>
      </w:r>
    </w:p>
    <w:p w:rsidR="00F913BC" w:rsidRDefault="005C2F01">
      <w:pPr>
        <w:pStyle w:val="Textbody"/>
        <w:jc w:val="center"/>
      </w:pPr>
      <w:r>
        <w:rPr>
          <w:rFonts w:cs="Times New Roman"/>
          <w:b/>
          <w:bCs/>
        </w:rPr>
        <w:t>dotycząca przetwarzania danych osobowych w Urzę</w:t>
      </w:r>
      <w:r>
        <w:rPr>
          <w:rFonts w:cs="Times New Roman"/>
          <w:b/>
          <w:bCs/>
        </w:rPr>
        <w:t>dzie Miasta i Gminy Pilawa</w:t>
      </w:r>
    </w:p>
    <w:p w:rsidR="00F913BC" w:rsidRDefault="00F913BC">
      <w:pPr>
        <w:pStyle w:val="Textbody"/>
        <w:jc w:val="both"/>
        <w:rPr>
          <w:rFonts w:cs="Times New Roman"/>
        </w:rPr>
      </w:pPr>
    </w:p>
    <w:p w:rsidR="00F913BC" w:rsidRDefault="005C2F01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</w:t>
      </w:r>
      <w:r>
        <w:rPr>
          <w:rFonts w:cs="Times New Roman"/>
        </w:rPr>
        <w:t>takich danych oraz uchylenia dyrektywy 95/46/WE (ogólne rozporządzenia o ochronie danych) (Dz. Urz. UE L 119 z 4.05.2016, str.1), zwanego dalej rozporządzeniem 2016/679 informuję, iż:</w:t>
      </w:r>
    </w:p>
    <w:p w:rsidR="00F913BC" w:rsidRDefault="005C2F01">
      <w:pPr>
        <w:pStyle w:val="Textbody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Administratorem Pani/Pana danych osobowych jest Burmistrz Miasta i Gminy</w:t>
      </w:r>
      <w:r>
        <w:rPr>
          <w:rFonts w:cs="Times New Roman"/>
        </w:rPr>
        <w:t xml:space="preserve"> Pilawa,                           Al. Wyzwolenia 158, e-mail: urzad@pilawa.com.pl;</w:t>
      </w:r>
    </w:p>
    <w:p w:rsidR="00F913BC" w:rsidRDefault="005C2F01">
      <w:pPr>
        <w:pStyle w:val="Textbod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Pani/Pana dane osobowe przetwarzane będą w celu przeprowadzenia postępowania administracyjnego dotyczącego wydania decyzji zatwierdzającej podział nieruchomości            </w:t>
      </w:r>
      <w:r>
        <w:rPr>
          <w:rFonts w:cs="Times New Roman"/>
        </w:rPr>
        <w:t xml:space="preserve">           na podstawie przepisów ustawy z dnia 14 czerwca 1960r. Kodeks postępowania administracyjnego oraz ustawy z dnia 21 sierpnia 1997r. o gospodarce nieruchomościami;</w:t>
      </w:r>
    </w:p>
    <w:p w:rsidR="00F913BC" w:rsidRDefault="005C2F01">
      <w:pPr>
        <w:pStyle w:val="Textbod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Odbiorcą Pani/Pana danych mogą być podmioty na podstawie obowiązujących przepisów p</w:t>
      </w:r>
      <w:r>
        <w:rPr>
          <w:rFonts w:cs="Times New Roman"/>
        </w:rPr>
        <w:t>rawa – podmioty publiczne, sądy i inni odbiorcy legitymujący się interesem prawnym w pozyskaniu danych osobowych, osoby będące stroną postępowania, inni uczestnicy postępowania oraz podmioty przetwarzające dane w imieniu Miasta i Gminy Pilawa;</w:t>
      </w:r>
    </w:p>
    <w:p w:rsidR="00F913BC" w:rsidRDefault="005C2F01">
      <w:pPr>
        <w:pStyle w:val="Textbod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Pani/Pana </w:t>
      </w:r>
      <w:r>
        <w:rPr>
          <w:rFonts w:cs="Times New Roman"/>
        </w:rPr>
        <w:t>dane osobowe będą przechowywane przez okres ustalony zgodnie z Rozporządzeniem Prezesa Rady Ministrów z dnia 18 stycznia 2011 r. w sprawie instrukcji kancelaryjnej, jednolitych rzeczowych wykazów akt oraz instrukcji organizacji i zakresu działania archiwów</w:t>
      </w:r>
      <w:r>
        <w:rPr>
          <w:rFonts w:cs="Times New Roman"/>
        </w:rPr>
        <w:t xml:space="preserve"> zakładowych;</w:t>
      </w:r>
    </w:p>
    <w:p w:rsidR="00F913BC" w:rsidRDefault="005C2F01">
      <w:pPr>
        <w:pStyle w:val="Textbod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Posiada Pani/Pan prawo dostępu do treści swoich danych, prawo ich sprostowania, prawo ograniczenia przetwarzania.</w:t>
      </w:r>
    </w:p>
    <w:p w:rsidR="00F913BC" w:rsidRDefault="005C2F01">
      <w:pPr>
        <w:pStyle w:val="Textbod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Ma Pani/Pan prawo wniesienia skargi do Prezesa Urzędu Ochrony Danych Osobowych, gdy uzna Pani/Pan, iż przetwarzanie danych osobo</w:t>
      </w:r>
      <w:r>
        <w:rPr>
          <w:rFonts w:cs="Times New Roman"/>
        </w:rPr>
        <w:t>wych dotyczących Pani/Pana danych narusza przepisy rozporządzenia 2016/679;</w:t>
      </w:r>
    </w:p>
    <w:p w:rsidR="00F913BC" w:rsidRDefault="005C2F01">
      <w:pPr>
        <w:pStyle w:val="Textbod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Podanie przez Panią/Pana danych osobowych jest wymogiem ustawowym, bez ich podania sprawa pozostanie bez rozpoznania. Warunek ten nie dotyczy podania numeru telefonu.</w:t>
      </w:r>
    </w:p>
    <w:p w:rsidR="00F913BC" w:rsidRDefault="00F913BC">
      <w:pPr>
        <w:pStyle w:val="Textbody"/>
        <w:spacing w:before="57" w:after="0" w:line="200" w:lineRule="atLeast"/>
        <w:jc w:val="both"/>
        <w:rPr>
          <w:rFonts w:cs="Times New Roman"/>
        </w:rPr>
      </w:pPr>
    </w:p>
    <w:p w:rsidR="00F913BC" w:rsidRDefault="00F913BC">
      <w:pPr>
        <w:pStyle w:val="Textbody"/>
        <w:spacing w:before="57" w:after="0" w:line="200" w:lineRule="atLeast"/>
        <w:jc w:val="both"/>
        <w:rPr>
          <w:rFonts w:cs="Times New Roman"/>
        </w:rPr>
      </w:pPr>
    </w:p>
    <w:p w:rsidR="00F913BC" w:rsidRDefault="00F913BC">
      <w:pPr>
        <w:pStyle w:val="Textbody"/>
        <w:spacing w:before="57" w:after="0" w:line="200" w:lineRule="atLeast"/>
        <w:jc w:val="both"/>
        <w:rPr>
          <w:rFonts w:cs="Times New Roman"/>
        </w:rPr>
      </w:pPr>
    </w:p>
    <w:p w:rsidR="00F913BC" w:rsidRDefault="00F913BC">
      <w:pPr>
        <w:pStyle w:val="Textbody"/>
        <w:spacing w:before="57" w:after="0" w:line="200" w:lineRule="atLeast"/>
        <w:jc w:val="both"/>
        <w:rPr>
          <w:rFonts w:cs="Times New Roman"/>
        </w:rPr>
      </w:pPr>
    </w:p>
    <w:p w:rsidR="00F913BC" w:rsidRDefault="00F913BC">
      <w:pPr>
        <w:pStyle w:val="Textbody"/>
        <w:spacing w:before="57" w:after="0" w:line="200" w:lineRule="atLeast"/>
        <w:jc w:val="both"/>
        <w:rPr>
          <w:rFonts w:cs="Times New Roman"/>
        </w:rPr>
      </w:pPr>
    </w:p>
    <w:p w:rsidR="00F913BC" w:rsidRDefault="00F913BC">
      <w:pPr>
        <w:pStyle w:val="Textbody"/>
        <w:spacing w:before="57" w:after="0" w:line="200" w:lineRule="atLeast"/>
        <w:jc w:val="both"/>
        <w:rPr>
          <w:rFonts w:cs="Times New Roman"/>
        </w:rPr>
      </w:pPr>
    </w:p>
    <w:p w:rsidR="00F913BC" w:rsidRDefault="005C2F01">
      <w:pPr>
        <w:pStyle w:val="Textbody"/>
        <w:spacing w:before="57" w:after="0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……………………………………</w:t>
      </w:r>
    </w:p>
    <w:p w:rsidR="00F913BC" w:rsidRDefault="005C2F01">
      <w:pPr>
        <w:pStyle w:val="Textbody"/>
        <w:spacing w:before="57" w:after="0" w:line="200" w:lineRule="atLeast"/>
        <w:jc w:val="both"/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/podpis wnioskodawcy/</w:t>
      </w:r>
    </w:p>
    <w:sectPr w:rsidR="00F913BC">
      <w:footerReference w:type="default" r:id="rId7"/>
      <w:pgSz w:w="11906" w:h="16838"/>
      <w:pgMar w:top="1134" w:right="1134" w:bottom="76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F01">
      <w:r>
        <w:separator/>
      </w:r>
    </w:p>
  </w:endnote>
  <w:endnote w:type="continuationSeparator" w:id="0">
    <w:p w:rsidR="00000000" w:rsidRDefault="005C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Didot Regular P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0C" w:rsidRDefault="005C2F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2F01">
      <w:r>
        <w:rPr>
          <w:color w:val="000000"/>
        </w:rPr>
        <w:separator/>
      </w:r>
    </w:p>
  </w:footnote>
  <w:footnote w:type="continuationSeparator" w:id="0">
    <w:p w:rsidR="00000000" w:rsidRDefault="005C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B66"/>
    <w:multiLevelType w:val="multilevel"/>
    <w:tmpl w:val="245C5AA2"/>
    <w:styleLink w:val="WW8Num3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" w15:restartNumberingAfterBreak="0">
    <w:nsid w:val="36D30767"/>
    <w:multiLevelType w:val="multilevel"/>
    <w:tmpl w:val="7376008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" w15:restartNumberingAfterBreak="0">
    <w:nsid w:val="42CC59BD"/>
    <w:multiLevelType w:val="multilevel"/>
    <w:tmpl w:val="EB70EE0C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6200C2"/>
    <w:multiLevelType w:val="multilevel"/>
    <w:tmpl w:val="6E68FBBC"/>
    <w:styleLink w:val="WW8Num1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" w15:restartNumberingAfterBreak="0">
    <w:nsid w:val="4846767C"/>
    <w:multiLevelType w:val="multilevel"/>
    <w:tmpl w:val="9CA888F0"/>
    <w:styleLink w:val="WW8Num4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52B537BE"/>
    <w:multiLevelType w:val="multilevel"/>
    <w:tmpl w:val="5E88E88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C15AB1"/>
    <w:multiLevelType w:val="multilevel"/>
    <w:tmpl w:val="E24C22EA"/>
    <w:styleLink w:val="WW8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46420B"/>
    <w:multiLevelType w:val="multilevel"/>
    <w:tmpl w:val="CF1CDD40"/>
    <w:styleLink w:val="WW8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7E3E6ED3"/>
    <w:multiLevelType w:val="multilevel"/>
    <w:tmpl w:val="C87A7438"/>
    <w:styleLink w:val="WW8Num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13BC"/>
    <w:rsid w:val="005C2F01"/>
    <w:rsid w:val="00F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46F0C-5167-494F-A0FB-AAD6C40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Symbol" w:eastAsia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Zeichenformat">
    <w:name w:val="Zeichenforma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1">
    <w:name w:val="WW8Num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4">
    <w:name w:val="WW8Num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Jałocha</dc:creator>
  <cp:lastModifiedBy>Mariusz Barcikowski</cp:lastModifiedBy>
  <cp:revision>2</cp:revision>
  <cp:lastPrinted>2021-04-08T11:15:00Z</cp:lastPrinted>
  <dcterms:created xsi:type="dcterms:W3CDTF">2021-04-09T06:45:00Z</dcterms:created>
  <dcterms:modified xsi:type="dcterms:W3CDTF">2021-04-09T06:45:00Z</dcterms:modified>
</cp:coreProperties>
</file>